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35A" w:rsidRPr="0021135A" w:rsidRDefault="0021135A" w:rsidP="0021135A">
      <w:pPr>
        <w:tabs>
          <w:tab w:val="right" w:pos="9921"/>
        </w:tabs>
        <w:spacing w:after="0" w:line="240" w:lineRule="auto"/>
        <w:ind w:left="5245" w:firstLine="4820"/>
        <w:jc w:val="both"/>
        <w:rPr>
          <w:rFonts w:ascii="Times New Roman" w:hAnsi="Times New Roman" w:cs="Times New Roman"/>
          <w:sz w:val="28"/>
          <w:szCs w:val="28"/>
        </w:rPr>
      </w:pPr>
      <w:r w:rsidRPr="0021135A">
        <w:rPr>
          <w:rFonts w:ascii="Times New Roman" w:hAnsi="Times New Roman" w:cs="Times New Roman"/>
          <w:sz w:val="28"/>
          <w:szCs w:val="28"/>
        </w:rPr>
        <w:t xml:space="preserve">  Приложение 2 </w:t>
      </w:r>
    </w:p>
    <w:p w:rsidR="0021135A" w:rsidRPr="0021135A" w:rsidRDefault="0021135A" w:rsidP="0021135A">
      <w:pPr>
        <w:tabs>
          <w:tab w:val="right" w:pos="9921"/>
        </w:tabs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1135A">
        <w:rPr>
          <w:rFonts w:ascii="Times New Roman" w:hAnsi="Times New Roman" w:cs="Times New Roman"/>
          <w:sz w:val="28"/>
          <w:szCs w:val="28"/>
        </w:rPr>
        <w:t xml:space="preserve">к Программе проведения оценки обеспечения готовности к отопительному периоду 2026-2027 годов теплоснабжающих организаций и потребителей тепловой энергии муниципального образования Каневской муниципальный район Краснодарского края </w:t>
      </w:r>
    </w:p>
    <w:p w:rsidR="0021135A" w:rsidRPr="0021135A" w:rsidRDefault="0021135A" w:rsidP="0021135A">
      <w:pPr>
        <w:tabs>
          <w:tab w:val="right" w:pos="9921"/>
        </w:tabs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21135A" w:rsidRPr="0021135A" w:rsidRDefault="0021135A" w:rsidP="0021135A">
      <w:pPr>
        <w:tabs>
          <w:tab w:val="right" w:pos="9921"/>
        </w:tabs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1135A">
        <w:rPr>
          <w:rFonts w:ascii="Times New Roman" w:hAnsi="Times New Roman" w:cs="Times New Roman"/>
          <w:sz w:val="28"/>
          <w:szCs w:val="28"/>
        </w:rPr>
        <w:t>______________ И.А. Луценко</w:t>
      </w:r>
    </w:p>
    <w:p w:rsidR="0021135A" w:rsidRPr="0021135A" w:rsidRDefault="0021135A" w:rsidP="0021135A">
      <w:pPr>
        <w:tabs>
          <w:tab w:val="right" w:pos="9921"/>
        </w:tabs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21135A" w:rsidRPr="0021135A" w:rsidRDefault="0021135A" w:rsidP="0021135A">
      <w:pPr>
        <w:tabs>
          <w:tab w:val="right" w:pos="9921"/>
        </w:tabs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1135A">
        <w:rPr>
          <w:rFonts w:ascii="Times New Roman" w:hAnsi="Times New Roman" w:cs="Times New Roman"/>
          <w:sz w:val="28"/>
          <w:szCs w:val="28"/>
        </w:rPr>
        <w:t>« ___» ____________ 2026 г.</w:t>
      </w:r>
    </w:p>
    <w:p w:rsidR="006C10CE" w:rsidRPr="00A26B5D" w:rsidRDefault="006C10CE" w:rsidP="00404A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C10CE" w:rsidRPr="00A26B5D" w:rsidRDefault="00A26B5D" w:rsidP="00404A5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Cs/>
          <w:i/>
          <w:color w:val="26292E"/>
          <w:sz w:val="28"/>
          <w:szCs w:val="28"/>
        </w:rPr>
      </w:pPr>
      <w:r w:rsidRPr="00A26B5D">
        <w:rPr>
          <w:rFonts w:ascii="TimesNewRoman,Bold" w:hAnsi="TimesNewRoman,Bold" w:cs="TimesNewRoman,Bold"/>
          <w:bCs/>
          <w:i/>
          <w:color w:val="26292E"/>
          <w:sz w:val="28"/>
          <w:szCs w:val="28"/>
        </w:rPr>
        <w:t>(Образец)</w:t>
      </w:r>
    </w:p>
    <w:p w:rsidR="00404A51" w:rsidRPr="006D7535" w:rsidRDefault="00404A51" w:rsidP="00A67E65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color w:val="26292E"/>
          <w:sz w:val="24"/>
          <w:szCs w:val="24"/>
        </w:rPr>
      </w:pPr>
      <w:r w:rsidRPr="006D7535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t>Оценочный лист</w:t>
      </w:r>
    </w:p>
    <w:p w:rsidR="0021135A" w:rsidRPr="006D7535" w:rsidRDefault="00404A51" w:rsidP="00A67E65">
      <w:pPr>
        <w:tabs>
          <w:tab w:val="left" w:pos="10206"/>
        </w:tabs>
        <w:spacing w:after="0" w:line="240" w:lineRule="auto"/>
        <w:jc w:val="center"/>
        <w:rPr>
          <w:rFonts w:ascii="TimesNewRoman,Bold" w:hAnsi="TimesNewRoman,Bold" w:cs="TimesNewRoman,Bold"/>
          <w:b/>
          <w:bCs/>
          <w:color w:val="26292E"/>
          <w:sz w:val="24"/>
          <w:szCs w:val="24"/>
        </w:rPr>
      </w:pPr>
      <w:r w:rsidRPr="006D7535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t xml:space="preserve">для расчета индекса готовности к отопительному периоду </w:t>
      </w:r>
      <w:r w:rsidR="0021135A" w:rsidRPr="006D7535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br/>
      </w:r>
      <w:r w:rsidRPr="006D7535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t>муниципального образования</w:t>
      </w:r>
      <w:r w:rsidR="0021135A" w:rsidRPr="006D7535">
        <w:rPr>
          <w:sz w:val="24"/>
          <w:szCs w:val="24"/>
        </w:rPr>
        <w:t xml:space="preserve"> </w:t>
      </w:r>
      <w:r w:rsidR="0021135A" w:rsidRPr="006D7535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t>Каневской муниципальный район</w:t>
      </w:r>
    </w:p>
    <w:p w:rsidR="002A13F7" w:rsidRPr="006D7535" w:rsidRDefault="0021135A" w:rsidP="00A67E65">
      <w:pPr>
        <w:tabs>
          <w:tab w:val="left" w:pos="10206"/>
        </w:tabs>
        <w:spacing w:after="0" w:line="240" w:lineRule="auto"/>
        <w:jc w:val="center"/>
        <w:rPr>
          <w:rFonts w:ascii="TimesNewRoman,Bold" w:hAnsi="TimesNewRoman,Bold" w:cs="TimesNewRoman,Bold"/>
          <w:b/>
          <w:bCs/>
          <w:color w:val="26292E"/>
          <w:sz w:val="24"/>
          <w:szCs w:val="24"/>
        </w:rPr>
      </w:pPr>
      <w:r w:rsidRPr="006D7535">
        <w:rPr>
          <w:rFonts w:ascii="TimesNewRoman,Bold" w:hAnsi="TimesNewRoman,Bold" w:cs="TimesNewRoman,Bold"/>
          <w:b/>
          <w:bCs/>
          <w:color w:val="26292E"/>
          <w:sz w:val="24"/>
          <w:szCs w:val="24"/>
        </w:rPr>
        <w:t>Краснодарского края</w:t>
      </w:r>
    </w:p>
    <w:p w:rsidR="00404A51" w:rsidRDefault="0021135A" w:rsidP="00404A51">
      <w:pPr>
        <w:spacing w:after="0" w:line="240" w:lineRule="auto"/>
        <w:rPr>
          <w:rFonts w:ascii="TimesNewRoman,Bold" w:hAnsi="TimesNewRoman,Bold" w:cs="TimesNewRoman,Bold"/>
          <w:b/>
          <w:bCs/>
          <w:color w:val="26292E"/>
        </w:rPr>
      </w:pPr>
      <w:r>
        <w:rPr>
          <w:rFonts w:ascii="TimesNewRoman,Bold" w:hAnsi="TimesNewRoman,Bold" w:cs="TimesNewRoman,Bold"/>
          <w:b/>
          <w:bCs/>
          <w:color w:val="26292E"/>
        </w:rP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"/>
        <w:gridCol w:w="2057"/>
        <w:gridCol w:w="2208"/>
        <w:gridCol w:w="2007"/>
        <w:gridCol w:w="1130"/>
        <w:gridCol w:w="1514"/>
        <w:gridCol w:w="2569"/>
        <w:gridCol w:w="1332"/>
        <w:gridCol w:w="1256"/>
      </w:tblGrid>
      <w:tr w:rsidR="00404A51" w:rsidRPr="00404A51" w:rsidTr="00404A51">
        <w:trPr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Обязательное требование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Подтверждающий документ</w:t>
            </w: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Вес показателя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 показателей готовности (формула)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(заполняется комиссией)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Замечание (в случае наличия, с указанием сроков устранения)</w:t>
            </w:r>
          </w:p>
        </w:tc>
      </w:tr>
      <w:tr w:rsidR="00404A51" w:rsidRPr="00404A51" w:rsidTr="00404A51">
        <w:trPr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 ГОТОВНОСТИ</w:t>
            </w: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Имо = Кзакон о тепл * 0,65 + Коценка * 0,35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4A51" w:rsidRPr="00404A51" w:rsidTr="00404A51">
        <w:trPr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Выполнить требования, установленные </w:t>
            </w:r>
            <w:hyperlink r:id="rId6" w:anchor="l371" w:history="1">
              <w:r w:rsidRPr="00404A51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частью 3</w:t>
              </w:r>
            </w:hyperlink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</w:t>
            </w: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закона</w:t>
            </w:r>
            <w:r w:rsidR="009A76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 27 июля 2010 г. N 190-ФЗ "О </w:t>
            </w: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теплоснабжении" (далее - </w:t>
            </w:r>
            <w:bookmarkStart w:id="0" w:name="_GoBack"/>
            <w:bookmarkEnd w:id="0"/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Федеральный закон о теплоснабжении) (подпункт 8.1 пункта 8 Правил обеспечения готовности к отопительному периоду, утвержденных приказом Минэнерго России от 13 ноября 2024 г. N 2234 (далее - Правила):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Показатель выполнения требований Федерального </w:t>
            </w:r>
            <w:hyperlink r:id="rId7" w:anchor="l0" w:history="1">
              <w:r w:rsidRPr="00404A51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закона</w:t>
              </w:r>
            </w:hyperlink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</w:t>
            </w: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теплоснабжении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0,65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Кзакон о тепл</w:t>
            </w: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Кзакон о тепл = Кпорядок * 0,4 + Ксхем * 0,3 + Кбесхоз * 0,3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4A51" w:rsidRPr="00404A51" w:rsidTr="00404A51">
        <w:trPr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Иметь порядок (план) действий по ликвидации последствий аварийных ситуаций в сфере теплоснабжения в муниципальном образовании (пункт 1 </w:t>
            </w:r>
            <w:hyperlink r:id="rId8" w:anchor="l371" w:history="1">
              <w:r w:rsidRPr="00404A51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3</w:t>
              </w:r>
            </w:hyperlink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закона о теплоснабжении)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Утвержденный (актуализированный) порядок (план) действий по ликвидации последствий аварийных ситуаций в сфере теплоснабжения в муниципальном образовании (в том числе с применением электронного моделирования аварийных ситуаций) (подпункт </w:t>
            </w: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8.3.1 пункта 8 Правил)</w:t>
            </w: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Показатель наличия порядка (плана) действий по ликвидации последствий аварийных ситуаций в сфере теплоснабжения в муниципальном образовании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Кпорядок</w:t>
            </w: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4A51" w:rsidRPr="00404A51" w:rsidTr="00404A51">
        <w:trPr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Иметь утвержденную актуализированную схему теплоснабжения в соответствии с </w:t>
            </w:r>
            <w:hyperlink r:id="rId9" w:anchor="l433" w:history="1">
              <w:r w:rsidRPr="00404A51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частью 3</w:t>
              </w:r>
            </w:hyperlink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23 Федерального закона о теплоснабжении (пункт 2 </w:t>
            </w:r>
            <w:hyperlink r:id="rId10" w:anchor="l371" w:history="1">
              <w:r w:rsidRPr="00404A51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3</w:t>
              </w:r>
            </w:hyperlink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20 Федерального закона о теплоснабжении)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Утвержденная актуализированная схема теплоснабжения, в соответствии с требованиями постановления Правительства Российской Федерации </w:t>
            </w:r>
            <w:hyperlink r:id="rId11" w:anchor="l0" w:history="1">
              <w:r w:rsidRPr="00404A51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от 22 февраля 2012 г. N 154</w:t>
              </w:r>
            </w:hyperlink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(подпункт 8.3.2 пункта Правил)</w:t>
            </w: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наличия утвержденной актуализированной схемы теплоснабжения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Ксхем</w:t>
            </w: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- 1</w:t>
            </w:r>
          </w:p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Отсутствие - 0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4A51" w:rsidRPr="00404A51" w:rsidTr="00404A51">
        <w:trPr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Обеспечить подготовку к отопительному периоду бесхозяйных объектов теплоснабжения, в отношении которых в соответствии с </w:t>
            </w:r>
            <w:hyperlink r:id="rId12" w:anchor="l1360" w:history="1">
              <w:r w:rsidRPr="00404A51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частью 6.4</w:t>
              </w:r>
            </w:hyperlink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15 Федерального закона о теплоснабжении не определена организация по содержанию и обслуживанию (пункт 3 </w:t>
            </w:r>
            <w:hyperlink r:id="rId13" w:anchor="l371" w:history="1">
              <w:r w:rsidRPr="00404A51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3</w:t>
              </w:r>
            </w:hyperlink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статьи 20 Федерального закона о теплоснабжении)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Документы, предусмотренные подпунктами 9.3.1, 9.3.3 - 9.3.12, 9.3.14 - 9.3.16, 9.3.18 - 9.3.24, 9.3.26 - 9.3.28 пункта 9 Правил, и документы, подтверждающие выполнение требований по обеспечению готовности к отопительному периоду бесхозяйных объектов теплоснабжения, в отношении которых </w:t>
            </w: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не определена организация, которая будет осуществлять содержание и обслуживание бесхозяйного объекта теплоснабжения, в соответствии с требованиями </w:t>
            </w:r>
            <w:hyperlink r:id="rId14" w:anchor="l1385" w:history="1">
              <w:r w:rsidRPr="00404A51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части 6.1</w:t>
              </w:r>
            </w:hyperlink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статьи 15 Федерального закона о теплоснабжении (подпункт 8.3.3 пункта 8 Правил)</w:t>
            </w: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Показатель подготовки к отопительному периоду бесхозяйных объектов теплоснабжения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Кбесхоз</w:t>
            </w: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отсутствии бесхозяйных объектов теплоснабжения, в отношении которых не определена организация, которая будет осуществлять содержание и обслуживание бесхозяйного объекта теплоснабжения Кбесхоз принимается равным 1.</w:t>
            </w:r>
          </w:p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 наличии бесхозяйных объектов теплоснабжения, для которых определена организация по содержанию и </w:t>
            </w: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обслуживанию Кбесхоз принимается равным 1.</w:t>
            </w:r>
          </w:p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Если для бесхозяйных объектов не определена организация, которая будет осуществлять содержание и обслуживание, расчет Кбесхоз ведется в соответствии с Приложением к оценочному листу для расчета показателя подготовки бесхозяйных объектов теплоснабжения, которым не определена организация, осуществляющая содержание и обслуживание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4A51" w:rsidRPr="00404A51" w:rsidTr="00404A51">
        <w:trPr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Осуществить оценку обеспечения готовности к отопительному периоду лицами, указанными в подпунктах 1.2 - 1.6 пункта 1 Правил в соответствии с Порядком проведения оценки обеспечения готовности к </w:t>
            </w: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отопительному периоду, утвержденным приказом Минэнерго России от 13 ноября 2024 г. N 2234 (далее - Порядок) (подпункт 8.2 пункта 8 Правил)</w:t>
            </w:r>
          </w:p>
        </w:tc>
        <w:tc>
          <w:tcPr>
            <w:tcW w:w="22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Выданные акты оценки обеспечения готовности к отопительному периоду, подтверждающие выполнение требований, установленных подпунктом 8.2 пункта 8 (подпункт 8.2 пункта 8 Правил)</w:t>
            </w:r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оценки обеспечения готовности к отопительному периоду лицами, указанными в подпунктах 1.2 - 1.6 пункта 1 Правил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Коценка</w:t>
            </w: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21790" cy="3498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90" cy="34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4A51" w:rsidRPr="00404A51" w:rsidTr="00404A51">
        <w:trPr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05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lпорядок</w:t>
            </w: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соблюдении Порядка lпорядок принимается равным 1.</w:t>
            </w:r>
          </w:p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не соблюдении Порядка lпорядок принимается равным 0.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4A51" w:rsidRPr="00404A51" w:rsidTr="00404A51">
        <w:trPr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05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nактов</w:t>
            </w: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теплоснабжающих и теплосетевых организаций, владельцев тепловых сетей, не являющихся теплосетевыми </w:t>
            </w: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организациями, прошедших оценку готовности и получивших акт оценки обеспечения готовности к отопительному периоду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4A51" w:rsidRPr="00404A51" w:rsidTr="00404A51">
        <w:trPr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0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nвсего</w:t>
            </w: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теплоснабжающих и теплосетевых организаций, владельцев тепловых сетей, не являющихся теплосетевыми организациями, всего (информация о количестве должна соответствовать схемам теплоснабжения)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A51" w:rsidRPr="00404A51" w:rsidRDefault="00404A51" w:rsidP="00404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04A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04A51" w:rsidRDefault="00404A51" w:rsidP="00404A51">
      <w:pPr>
        <w:spacing w:after="0" w:line="240" w:lineRule="auto"/>
      </w:pPr>
    </w:p>
    <w:sectPr w:rsidR="00404A51" w:rsidSect="006C10CE"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5EE" w:rsidRDefault="00D335EE" w:rsidP="006C10CE">
      <w:pPr>
        <w:spacing w:after="0" w:line="240" w:lineRule="auto"/>
      </w:pPr>
      <w:r>
        <w:separator/>
      </w:r>
    </w:p>
  </w:endnote>
  <w:endnote w:type="continuationSeparator" w:id="0">
    <w:p w:rsidR="00D335EE" w:rsidRDefault="00D335EE" w:rsidP="006C1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5EE" w:rsidRDefault="00D335EE" w:rsidP="006C10CE">
      <w:pPr>
        <w:spacing w:after="0" w:line="240" w:lineRule="auto"/>
      </w:pPr>
      <w:r>
        <w:separator/>
      </w:r>
    </w:p>
  </w:footnote>
  <w:footnote w:type="continuationSeparator" w:id="0">
    <w:p w:rsidR="00D335EE" w:rsidRDefault="00D335EE" w:rsidP="006C10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BF3"/>
    <w:rsid w:val="0021135A"/>
    <w:rsid w:val="002A13F7"/>
    <w:rsid w:val="002B3FD9"/>
    <w:rsid w:val="003C1B32"/>
    <w:rsid w:val="00404A51"/>
    <w:rsid w:val="00472EB6"/>
    <w:rsid w:val="006C10CE"/>
    <w:rsid w:val="006D7535"/>
    <w:rsid w:val="00856BF3"/>
    <w:rsid w:val="009A7680"/>
    <w:rsid w:val="00A26B5D"/>
    <w:rsid w:val="00A67E65"/>
    <w:rsid w:val="00D3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EE6B8"/>
  <w15:chartTrackingRefBased/>
  <w15:docId w15:val="{EF805EC6-9E6A-41AB-95EE-1E90A82CD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10CE"/>
  </w:style>
  <w:style w:type="paragraph" w:styleId="a5">
    <w:name w:val="footer"/>
    <w:basedOn w:val="a"/>
    <w:link w:val="a6"/>
    <w:uiPriority w:val="99"/>
    <w:unhideWhenUsed/>
    <w:rsid w:val="006C1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10CE"/>
  </w:style>
  <w:style w:type="table" w:styleId="a7">
    <w:name w:val="Table Grid"/>
    <w:basedOn w:val="a1"/>
    <w:uiPriority w:val="39"/>
    <w:rsid w:val="006C1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76930" TargetMode="External"/><Relationship Id="rId13" Type="http://schemas.openxmlformats.org/officeDocument/2006/relationships/hyperlink" Target="https://normativ.kontur.ru/document?moduleid=1&amp;documentid=4769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476930" TargetMode="External"/><Relationship Id="rId12" Type="http://schemas.openxmlformats.org/officeDocument/2006/relationships/hyperlink" Target="https://normativ.kontur.ru/document?moduleid=1&amp;documentid=47693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76930" TargetMode="External"/><Relationship Id="rId11" Type="http://schemas.openxmlformats.org/officeDocument/2006/relationships/hyperlink" Target="https://normativ.kontur.ru/document?moduleid=1&amp;documentid=481064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1.png"/><Relationship Id="rId10" Type="http://schemas.openxmlformats.org/officeDocument/2006/relationships/hyperlink" Target="https://normativ.kontur.ru/document?moduleid=1&amp;documentid=47693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normativ.kontur.ru/document?moduleid=1&amp;documentid=476930" TargetMode="External"/><Relationship Id="rId14" Type="http://schemas.openxmlformats.org/officeDocument/2006/relationships/hyperlink" Target="https://normativ.kontur.ru/document?moduleid=1&amp;documentid=4769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Мушниченко</dc:creator>
  <cp:keywords/>
  <dc:description/>
  <cp:lastModifiedBy>Светлана Мушниченко</cp:lastModifiedBy>
  <cp:revision>26</cp:revision>
  <dcterms:created xsi:type="dcterms:W3CDTF">2025-06-20T07:00:00Z</dcterms:created>
  <dcterms:modified xsi:type="dcterms:W3CDTF">2026-07-06T08:09:00Z</dcterms:modified>
</cp:coreProperties>
</file>